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7864A" w14:textId="1B2E75AA" w:rsidR="00D3270E" w:rsidRDefault="00D3270E" w:rsidP="00D3270E">
      <w:pPr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>
        <w:rPr>
          <w:rFonts w:ascii="Arial" w:eastAsia="MS Mincho" w:hAnsi="Arial" w:cs="Arial"/>
          <w:b/>
          <w:bCs/>
          <w:sz w:val="22"/>
          <w:lang w:val="en-GB"/>
        </w:rPr>
        <w:t>3GPP TSG-RAN WG2 Meeting #125-bis</w:t>
      </w:r>
      <w:r>
        <w:rPr>
          <w:rFonts w:ascii="Arial" w:eastAsia="MS Mincho" w:hAnsi="Arial" w:cs="Arial"/>
          <w:b/>
          <w:bCs/>
          <w:sz w:val="22"/>
          <w:lang w:val="en-GB"/>
        </w:rPr>
        <w:tab/>
        <w:t>R2-</w:t>
      </w:r>
      <w:r w:rsidR="008B1390" w:rsidRPr="008B1390">
        <w:rPr>
          <w:rFonts w:ascii="Arial" w:eastAsia="MS Mincho" w:hAnsi="Arial" w:cs="Arial"/>
          <w:b/>
          <w:bCs/>
          <w:sz w:val="22"/>
          <w:lang w:val="en-GB"/>
        </w:rPr>
        <w:t>2402566</w:t>
      </w:r>
    </w:p>
    <w:p w14:paraId="7EC7C335" w14:textId="77777777" w:rsidR="00D3270E" w:rsidRDefault="00D3270E" w:rsidP="00D3270E">
      <w:pPr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2"/>
          <w:lang w:val="en-GB"/>
        </w:rPr>
        <w:t>Changsha, China, April 15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eastAsia="MS Mincho" w:hAnsi="Arial" w:cs="Arial"/>
          <w:b/>
          <w:bCs/>
          <w:sz w:val="22"/>
          <w:lang w:val="en-GB"/>
        </w:rPr>
        <w:t xml:space="preserve"> – April 19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eastAsia="MS Mincho" w:hAnsi="Arial" w:cs="Arial"/>
          <w:b/>
          <w:bCs/>
          <w:sz w:val="22"/>
          <w:lang w:val="en-GB"/>
        </w:rPr>
        <w:t>, 2024</w:t>
      </w:r>
    </w:p>
    <w:p w14:paraId="409C2D4B" w14:textId="77777777" w:rsidR="000B47AC" w:rsidRDefault="000B47AC" w:rsidP="000B47AC">
      <w:pPr>
        <w:widowControl/>
        <w:tabs>
          <w:tab w:val="left" w:pos="1979"/>
        </w:tabs>
        <w:spacing w:after="18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</w:p>
    <w:p w14:paraId="42826239" w14:textId="1EEC6B28" w:rsidR="000B47AC" w:rsidRPr="00CA6965" w:rsidRDefault="000B47AC" w:rsidP="000B47AC">
      <w:pPr>
        <w:widowControl/>
        <w:tabs>
          <w:tab w:val="left" w:pos="1800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88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D3270E">
        <w:rPr>
          <w:rFonts w:ascii="Arial" w:eastAsia="宋体" w:hAnsi="Arial" w:cs="Times New Roman"/>
          <w:b/>
          <w:kern w:val="0"/>
          <w:sz w:val="22"/>
          <w:szCs w:val="22"/>
        </w:rPr>
        <w:t>7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r w:rsidR="00D3270E">
        <w:rPr>
          <w:rFonts w:ascii="Arial" w:eastAsia="宋体" w:hAnsi="Arial" w:cs="Times New Roman"/>
          <w:b/>
          <w:kern w:val="0"/>
          <w:sz w:val="22"/>
          <w:szCs w:val="22"/>
        </w:rPr>
        <w:t>3</w:t>
      </w:r>
      <w:r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bookmarkEnd w:id="5"/>
      <w:r w:rsidR="00D3270E">
        <w:rPr>
          <w:rFonts w:ascii="Arial" w:eastAsia="宋体" w:hAnsi="Arial" w:cs="Times New Roman"/>
          <w:b/>
          <w:kern w:val="0"/>
          <w:sz w:val="22"/>
          <w:szCs w:val="22"/>
        </w:rPr>
        <w:t>1</w:t>
      </w:r>
    </w:p>
    <w:p w14:paraId="1EFF0597" w14:textId="77777777" w:rsidR="000B47AC" w:rsidRPr="00F06FA4" w:rsidRDefault="000B47AC" w:rsidP="000B47AC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38864660" w14:textId="6AD215FC" w:rsid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D3270E" w:rsidRPr="00D3270E">
        <w:rPr>
          <w:rFonts w:ascii="Arial" w:eastAsia="宋体" w:hAnsi="Arial" w:cs="Times New Roman"/>
          <w:b/>
          <w:kern w:val="0"/>
          <w:sz w:val="22"/>
          <w:szCs w:val="22"/>
        </w:rPr>
        <w:t>Discussion on UE capabilit</w:t>
      </w:r>
      <w:r w:rsidR="00F52EF8">
        <w:rPr>
          <w:rFonts w:ascii="Arial" w:eastAsia="宋体" w:hAnsi="Arial" w:cs="Times New Roman"/>
          <w:b/>
          <w:kern w:val="0"/>
          <w:sz w:val="22"/>
          <w:szCs w:val="22"/>
        </w:rPr>
        <w:t>ies</w:t>
      </w:r>
      <w:r w:rsidR="00D3270E" w:rsidRPr="00D3270E">
        <w:rPr>
          <w:rFonts w:ascii="Arial" w:eastAsia="宋体" w:hAnsi="Arial" w:cs="Times New Roman"/>
          <w:b/>
          <w:kern w:val="0"/>
          <w:sz w:val="22"/>
          <w:szCs w:val="22"/>
        </w:rPr>
        <w:t xml:space="preserve"> for inter-band SSB-less SCell</w:t>
      </w:r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1EB27F60" w14:textId="053E79D7" w:rsidR="00541641" w:rsidRDefault="00541641" w:rsidP="00541641">
      <w:pPr>
        <w:spacing w:afterLines="50" w:after="156"/>
        <w:rPr>
          <w:rFonts w:eastAsia="宋体"/>
        </w:rPr>
      </w:pPr>
      <w:bookmarkStart w:id="7" w:name="_Hlk85390381"/>
      <w:bookmarkStart w:id="8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CF4A0C">
        <w:rPr>
          <w:rFonts w:eastAsia="宋体"/>
        </w:rPr>
        <w:t>RAN4</w:t>
      </w:r>
      <w:r w:rsidR="00CA15AB">
        <w:rPr>
          <w:rFonts w:eastAsia="宋体" w:hint="eastAsia"/>
        </w:rPr>
        <w:t>#</w:t>
      </w:r>
      <w:r w:rsidR="00CA15AB">
        <w:rPr>
          <w:rFonts w:eastAsia="宋体"/>
        </w:rPr>
        <w:t>110</w:t>
      </w:r>
      <w:r>
        <w:rPr>
          <w:rFonts w:eastAsia="宋体"/>
        </w:rPr>
        <w:t>, the following agreements were made[1]: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41641" w14:paraId="556821DD" w14:textId="77777777" w:rsidTr="00C12175">
        <w:tc>
          <w:tcPr>
            <w:tcW w:w="9634" w:type="dxa"/>
          </w:tcPr>
          <w:bookmarkEnd w:id="7"/>
          <w:p w14:paraId="6B7FFACC" w14:textId="77777777" w:rsidR="00CA15AB" w:rsidRPr="0077756E" w:rsidRDefault="00CA15AB" w:rsidP="00CA15AB">
            <w:pPr>
              <w:rPr>
                <w:szCs w:val="24"/>
                <w:highlight w:val="green"/>
              </w:rPr>
            </w:pPr>
            <w:r w:rsidRPr="0077756E">
              <w:rPr>
                <w:szCs w:val="24"/>
                <w:highlight w:val="green"/>
              </w:rPr>
              <w:t>Agreement (Wed Coffee break AH)</w:t>
            </w:r>
          </w:p>
          <w:p w14:paraId="27C555B4" w14:textId="77777777" w:rsidR="00CA15AB" w:rsidRPr="00CA15AB" w:rsidRDefault="00CA15AB" w:rsidP="00CA15AB">
            <w:pPr>
              <w:pStyle w:val="aa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rPr>
                <w:szCs w:val="24"/>
              </w:rPr>
            </w:pPr>
            <w:r w:rsidRPr="00CA15AB">
              <w:rPr>
                <w:b/>
                <w:szCs w:val="24"/>
              </w:rPr>
              <w:t>Understanding 1:</w:t>
            </w:r>
            <w:r w:rsidRPr="00CA15AB">
              <w:rPr>
                <w:szCs w:val="24"/>
              </w:rPr>
              <w:t xml:space="preserve"> The UE capability is to indicate whether SSB-less operation can be supported for certain band pair. Specifically, if UE can support SSB-less operation between Band A and Band B, UE can support both (Ref: A + SSB-less: B) and (Ref: B + SSB-less: A)</w:t>
            </w:r>
          </w:p>
          <w:p w14:paraId="58759BF4" w14:textId="77777777" w:rsidR="00CA15AB" w:rsidRPr="00CA15AB" w:rsidRDefault="00CA15AB" w:rsidP="00CA15AB">
            <w:pPr>
              <w:pStyle w:val="aa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rPr>
                <w:szCs w:val="24"/>
              </w:rPr>
            </w:pPr>
            <w:r w:rsidRPr="00CA15AB">
              <w:rPr>
                <w:b/>
                <w:szCs w:val="24"/>
              </w:rPr>
              <w:t>Understanding 2:</w:t>
            </w:r>
            <w:r w:rsidRPr="00CA15AB">
              <w:rPr>
                <w:szCs w:val="24"/>
              </w:rPr>
              <w:t xml:space="preserve"> If UE can support SSB-less operation between Band A and Band B, and UE can support CA combination containing A and B (e.g. A+B+C, A+B+D), then it is natural that UE can support SSB-less operation between A and B under such CA combinations.</w:t>
            </w:r>
          </w:p>
          <w:p w14:paraId="32ECB702" w14:textId="77777777" w:rsidR="00CA15AB" w:rsidRPr="00CA15AB" w:rsidRDefault="00CA15AB" w:rsidP="00CA15AB">
            <w:pPr>
              <w:pStyle w:val="aa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rPr>
                <w:szCs w:val="24"/>
              </w:rPr>
            </w:pPr>
            <w:r w:rsidRPr="00CA15AB">
              <w:rPr>
                <w:szCs w:val="24"/>
              </w:rPr>
              <w:t xml:space="preserve">Example: UE support SSB-less operation between A and B, and UE support CA band combination A+B+C+D, then UE can support SSB-less operation between A and B under CA combination A+B+C+D, where C and D without SSB-less operation. </w:t>
            </w:r>
          </w:p>
          <w:p w14:paraId="7EE50FE6" w14:textId="77777777" w:rsidR="00CA15AB" w:rsidRPr="0077756E" w:rsidRDefault="00CA15AB" w:rsidP="00CA15AB">
            <w:pPr>
              <w:rPr>
                <w:szCs w:val="24"/>
                <w:highlight w:val="green"/>
              </w:rPr>
            </w:pPr>
            <w:r w:rsidRPr="0077756E">
              <w:rPr>
                <w:szCs w:val="24"/>
                <w:highlight w:val="green"/>
              </w:rPr>
              <w:t>Agreement:</w:t>
            </w:r>
          </w:p>
          <w:p w14:paraId="349FE2D1" w14:textId="77777777" w:rsidR="00CA15AB" w:rsidRPr="00CA15AB" w:rsidRDefault="00CA15AB" w:rsidP="00CA15AB">
            <w:pPr>
              <w:rPr>
                <w:szCs w:val="24"/>
              </w:rPr>
            </w:pPr>
            <w:r w:rsidRPr="00CA15AB">
              <w:rPr>
                <w:szCs w:val="24"/>
              </w:rPr>
              <w:tab/>
            </w:r>
            <w:r w:rsidRPr="00CA15AB">
              <w:rPr>
                <w:szCs w:val="24"/>
              </w:rPr>
              <w:tab/>
            </w:r>
            <w:r w:rsidRPr="00CA15AB">
              <w:rPr>
                <w:szCs w:val="24"/>
              </w:rPr>
              <w:tab/>
            </w:r>
            <w:r w:rsidRPr="00CA15AB">
              <w:rPr>
                <w:szCs w:val="24"/>
              </w:rPr>
              <w:tab/>
            </w:r>
            <w:r w:rsidRPr="00CA15AB">
              <w:rPr>
                <w:szCs w:val="24"/>
              </w:rPr>
              <w:tab/>
            </w:r>
            <w:r w:rsidRPr="00CA15AB">
              <w:rPr>
                <w:szCs w:val="24"/>
              </w:rPr>
              <w:tab/>
            </w:r>
            <w:r w:rsidRPr="00CA15AB">
              <w:rPr>
                <w:szCs w:val="24"/>
              </w:rPr>
              <w:tab/>
            </w:r>
            <w:r w:rsidRPr="0077756E">
              <w:rPr>
                <w:szCs w:val="24"/>
                <w:highlight w:val="green"/>
              </w:rPr>
              <w:t>Per FS indication.</w:t>
            </w:r>
          </w:p>
          <w:p w14:paraId="74CD33EE" w14:textId="77777777" w:rsidR="00CA15AB" w:rsidRPr="00CA15AB" w:rsidRDefault="00CA15AB" w:rsidP="00CA15AB">
            <w:pPr>
              <w:pStyle w:val="aa"/>
              <w:widowControl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rPr>
                <w:szCs w:val="21"/>
              </w:rPr>
            </w:pPr>
            <w:r w:rsidRPr="00CA15AB">
              <w:rPr>
                <w:szCs w:val="21"/>
              </w:rPr>
              <w:t>For each band within the BC, UE indicates if it supports the SSB-less operation when this band is the reference band and other band(s) in the BC as the SSB-less band.</w:t>
            </w:r>
          </w:p>
          <w:p w14:paraId="7F4E20A7" w14:textId="77777777" w:rsidR="00CA15AB" w:rsidRPr="007759DD" w:rsidRDefault="00CA15AB" w:rsidP="00CA15AB">
            <w:pPr>
              <w:pStyle w:val="aa"/>
              <w:widowControl/>
              <w:numPr>
                <w:ilvl w:val="4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rPr>
                <w:szCs w:val="21"/>
                <w:highlight w:val="green"/>
              </w:rPr>
            </w:pPr>
            <w:r w:rsidRPr="007759DD">
              <w:rPr>
                <w:szCs w:val="21"/>
                <w:highlight w:val="green"/>
              </w:rPr>
              <w:t>Note: If UE indicate “support” for this band, it means all other bands within the BC can be configured as SSB-less bands. Otherwise, UE shall not indicate “support” for this band.</w:t>
            </w:r>
          </w:p>
          <w:p w14:paraId="5444D6D2" w14:textId="75B39495" w:rsidR="00CA15AB" w:rsidRPr="00CA15AB" w:rsidRDefault="00CA15AB" w:rsidP="00CA15AB">
            <w:pPr>
              <w:pStyle w:val="aa"/>
              <w:widowControl/>
              <w:numPr>
                <w:ilvl w:val="5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rPr>
                <w:szCs w:val="21"/>
              </w:rPr>
            </w:pPr>
            <w:r w:rsidRPr="00CA15AB">
              <w:rPr>
                <w:szCs w:val="21"/>
              </w:rPr>
              <w:t>Whether and how to define requirements for multiple SSB-less SCell activation will be FFS in RAN4 requirements discussion.</w:t>
            </w:r>
          </w:p>
          <w:p w14:paraId="0FD0C2E9" w14:textId="1FFB6D62" w:rsidR="00CA15AB" w:rsidRPr="007759DD" w:rsidRDefault="00CA15AB" w:rsidP="00CA15AB">
            <w:pPr>
              <w:rPr>
                <w:highlight w:val="green"/>
              </w:rPr>
            </w:pPr>
            <w:r w:rsidRPr="007759DD">
              <w:rPr>
                <w:highlight w:val="green"/>
              </w:rPr>
              <w:t>Agreements:</w:t>
            </w:r>
          </w:p>
          <w:p w14:paraId="47587055" w14:textId="7BEDE361" w:rsidR="00CA15AB" w:rsidRPr="007759DD" w:rsidRDefault="00CA15AB" w:rsidP="00CA15AB">
            <w:pPr>
              <w:rPr>
                <w:highlight w:val="green"/>
              </w:rPr>
            </w:pPr>
            <w:r w:rsidRPr="007759DD">
              <w:rPr>
                <w:highlight w:val="green"/>
              </w:rPr>
              <w:t xml:space="preserve">If UE indicates support of SSB-less operation between Band A and Band B, it is RAN4 understanding that there is no direction between A and B, which means that UE shall indicate either band as the reference band and the other band as the SSB-less band. </w:t>
            </w:r>
            <w:r w:rsidRPr="007759DD">
              <w:rPr>
                <w:highlight w:val="yellow"/>
              </w:rPr>
              <w:t xml:space="preserve">How UE to indicate it is up to RAN2 to design. </w:t>
            </w:r>
          </w:p>
          <w:p w14:paraId="7038EA42" w14:textId="77777777" w:rsidR="00CA15AB" w:rsidRPr="007759DD" w:rsidRDefault="00CA15AB" w:rsidP="00CA15AB">
            <w:pPr>
              <w:rPr>
                <w:highlight w:val="green"/>
              </w:rPr>
            </w:pPr>
          </w:p>
          <w:p w14:paraId="6E087472" w14:textId="41232276" w:rsidR="00CA15AB" w:rsidRPr="00CA15AB" w:rsidRDefault="00CA15AB" w:rsidP="00A93A63">
            <w:r w:rsidRPr="007759DD">
              <w:rPr>
                <w:highlight w:val="green"/>
              </w:rPr>
              <w:t xml:space="preserve">If UE indicates support of SSB-less operation between Band A and Band B, and UE can support CA combination containing A and B, then it is natural that UE can support SSB-less operation between A and B under such CA </w:t>
            </w:r>
            <w:r w:rsidRPr="007759DD">
              <w:rPr>
                <w:highlight w:val="green"/>
              </w:rPr>
              <w:lastRenderedPageBreak/>
              <w:t>combination.</w:t>
            </w:r>
          </w:p>
        </w:tc>
      </w:tr>
    </w:tbl>
    <w:p w14:paraId="1FA6579C" w14:textId="55735EFE" w:rsidR="00541641" w:rsidRDefault="00541641" w:rsidP="003777D8">
      <w:pPr>
        <w:spacing w:before="120"/>
      </w:pPr>
      <w:r>
        <w:rPr>
          <w:rFonts w:eastAsia="宋体"/>
        </w:rPr>
        <w:lastRenderedPageBreak/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3A00A3">
        <w:rPr>
          <w:rFonts w:eastAsia="宋体" w:hint="eastAsia"/>
        </w:rPr>
        <w:t>di</w:t>
      </w:r>
      <w:r w:rsidR="003A00A3">
        <w:rPr>
          <w:rFonts w:eastAsia="宋体"/>
        </w:rPr>
        <w:t>scuss</w:t>
      </w:r>
      <w:r w:rsidR="009034B0">
        <w:rPr>
          <w:rFonts w:eastAsia="宋体"/>
        </w:rPr>
        <w:t xml:space="preserve"> how RAN2 </w:t>
      </w:r>
      <w:r w:rsidR="00C12175">
        <w:rPr>
          <w:rFonts w:eastAsia="宋体"/>
        </w:rPr>
        <w:t>captures the RAN4 agreements which have not been reflected in the field description of the UE capability for inter-band SSB-less SCell operation[1]</w:t>
      </w:r>
      <w:r>
        <w:t>.</w:t>
      </w:r>
      <w:bookmarkEnd w:id="8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1"/>
      </w:pPr>
      <w:r>
        <w:t>Discussion</w:t>
      </w:r>
    </w:p>
    <w:p w14:paraId="69DF218C" w14:textId="5771CD41" w:rsidR="00A2414B" w:rsidRPr="00617DB8" w:rsidRDefault="00617DB8" w:rsidP="009B0A72">
      <w:pPr>
        <w:spacing w:before="120" w:after="120"/>
      </w:pPr>
      <w:r>
        <w:rPr>
          <w:rFonts w:eastAsia="宋体"/>
        </w:rPr>
        <w:t>According to the latest RAN4 agreements</w:t>
      </w:r>
      <w:r>
        <w:t xml:space="preserve">, </w:t>
      </w:r>
      <w:r w:rsidR="00927443">
        <w:t xml:space="preserve">the UE capability </w:t>
      </w:r>
      <w:r w:rsidR="00927443">
        <w:rPr>
          <w:rFonts w:eastAsia="宋体"/>
        </w:rPr>
        <w:t xml:space="preserve">for inter-band SSB-less SCell operation </w:t>
      </w:r>
      <w:r>
        <w:rPr>
          <w:rFonts w:eastAsia="宋体"/>
        </w:rPr>
        <w:t>is</w:t>
      </w:r>
      <w:r w:rsidR="00927443">
        <w:rPr>
          <w:rFonts w:eastAsia="宋体"/>
        </w:rPr>
        <w:t xml:space="preserve"> captured</w:t>
      </w:r>
      <w:r>
        <w:rPr>
          <w:rFonts w:eastAsia="宋体"/>
        </w:rPr>
        <w:t>[2]</w:t>
      </w:r>
      <w:r w:rsidR="00927443">
        <w:rPr>
          <w:rFonts w:eastAsia="宋体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27443" w:rsidRPr="00BE555F" w14:paraId="71059AF3" w14:textId="77777777" w:rsidTr="0018193C">
        <w:trPr>
          <w:cantSplit/>
          <w:tblHeader/>
        </w:trPr>
        <w:tc>
          <w:tcPr>
            <w:tcW w:w="6917" w:type="dxa"/>
          </w:tcPr>
          <w:p w14:paraId="5A08D1BF" w14:textId="77777777" w:rsidR="00927443" w:rsidRPr="00BE555F" w:rsidRDefault="00927443" w:rsidP="0018193C">
            <w:pPr>
              <w:pStyle w:val="TAH"/>
            </w:pPr>
            <w:r w:rsidRPr="00BE555F">
              <w:t>Definitions for parameters</w:t>
            </w:r>
          </w:p>
        </w:tc>
        <w:tc>
          <w:tcPr>
            <w:tcW w:w="709" w:type="dxa"/>
          </w:tcPr>
          <w:p w14:paraId="1F6361E2" w14:textId="77777777" w:rsidR="00927443" w:rsidRPr="00BE555F" w:rsidRDefault="00927443" w:rsidP="0018193C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42AED83E" w14:textId="77777777" w:rsidR="00927443" w:rsidRPr="00BE555F" w:rsidRDefault="00927443" w:rsidP="0018193C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48AAA4C1" w14:textId="77777777" w:rsidR="00927443" w:rsidRPr="00BE555F" w:rsidRDefault="00927443" w:rsidP="0018193C">
            <w:pPr>
              <w:pStyle w:val="TAH"/>
            </w:pPr>
            <w:r w:rsidRPr="00BE555F">
              <w:t>FDD-TDD</w:t>
            </w:r>
          </w:p>
          <w:p w14:paraId="557F5EF9" w14:textId="77777777" w:rsidR="00927443" w:rsidRPr="00BE555F" w:rsidRDefault="00927443" w:rsidP="0018193C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126B4EA7" w14:textId="77777777" w:rsidR="00927443" w:rsidRPr="00BE555F" w:rsidRDefault="00927443" w:rsidP="0018193C">
            <w:pPr>
              <w:pStyle w:val="TAH"/>
            </w:pPr>
            <w:r w:rsidRPr="00BE555F">
              <w:t>FR1-FR2</w:t>
            </w:r>
          </w:p>
          <w:p w14:paraId="39B50821" w14:textId="77777777" w:rsidR="00927443" w:rsidRPr="00BE555F" w:rsidRDefault="00927443" w:rsidP="0018193C">
            <w:pPr>
              <w:pStyle w:val="TAH"/>
            </w:pPr>
            <w:r w:rsidRPr="00BE555F">
              <w:t>DIFF</w:t>
            </w:r>
          </w:p>
        </w:tc>
      </w:tr>
      <w:tr w:rsidR="00927443" w:rsidRPr="00BE555F" w14:paraId="351A2A30" w14:textId="77777777" w:rsidTr="0018193C">
        <w:trPr>
          <w:cantSplit/>
          <w:tblHeader/>
        </w:trPr>
        <w:tc>
          <w:tcPr>
            <w:tcW w:w="6917" w:type="dxa"/>
          </w:tcPr>
          <w:p w14:paraId="4581AC51" w14:textId="77777777" w:rsidR="00927443" w:rsidRPr="00927443" w:rsidRDefault="00927443" w:rsidP="00927443">
            <w:pPr>
              <w:pStyle w:val="TAH"/>
              <w:jc w:val="left"/>
              <w:rPr>
                <w:i/>
              </w:rPr>
            </w:pPr>
            <w:r w:rsidRPr="00927443">
              <w:rPr>
                <w:i/>
              </w:rPr>
              <w:t>scellWithoutSSB-InterBandCA-r18</w:t>
            </w:r>
          </w:p>
          <w:p w14:paraId="7137F52A" w14:textId="77777777" w:rsidR="00AE2268" w:rsidRPr="00AE2268" w:rsidRDefault="00AE2268" w:rsidP="00AE2268">
            <w:pPr>
              <w:pStyle w:val="TAH"/>
              <w:rPr>
                <w:b w:val="0"/>
              </w:rPr>
            </w:pPr>
            <w:r w:rsidRPr="00AE2268">
              <w:rPr>
                <w:b w:val="0"/>
              </w:rPr>
              <w:t>Indicates whether the UE supports SCell without SS/PBCH block for inter-band CA.</w:t>
            </w:r>
          </w:p>
          <w:p w14:paraId="2646A39D" w14:textId="14EA894E" w:rsidR="00927443" w:rsidRPr="008D744C" w:rsidRDefault="00AE2268" w:rsidP="00AE2268">
            <w:pPr>
              <w:pStyle w:val="TAH"/>
              <w:jc w:val="both"/>
              <w:rPr>
                <w:b w:val="0"/>
              </w:rPr>
            </w:pPr>
            <w:r w:rsidRPr="00AE2268">
              <w:rPr>
                <w:b w:val="0"/>
              </w:rPr>
              <w:t>For each band within the BC, UE indicates if it supports the SSB-less operation when this band is the reference band and other band(s) in the BC as the SSB-less band(s).</w:t>
            </w:r>
          </w:p>
        </w:tc>
        <w:tc>
          <w:tcPr>
            <w:tcW w:w="709" w:type="dxa"/>
          </w:tcPr>
          <w:p w14:paraId="7EFF7481" w14:textId="0C373805" w:rsidR="00927443" w:rsidRPr="00BE555F" w:rsidRDefault="00927443" w:rsidP="00927443">
            <w:pPr>
              <w:pStyle w:val="TAH"/>
            </w:pPr>
            <w:r>
              <w:t>FS</w:t>
            </w:r>
          </w:p>
        </w:tc>
        <w:tc>
          <w:tcPr>
            <w:tcW w:w="567" w:type="dxa"/>
          </w:tcPr>
          <w:p w14:paraId="29257B17" w14:textId="10E8379F" w:rsidR="00927443" w:rsidRPr="00BE555F" w:rsidRDefault="00927443" w:rsidP="00927443">
            <w:pPr>
              <w:pStyle w:val="TAH"/>
            </w:pPr>
            <w:r>
              <w:t>No</w:t>
            </w:r>
          </w:p>
        </w:tc>
        <w:tc>
          <w:tcPr>
            <w:tcW w:w="709" w:type="dxa"/>
          </w:tcPr>
          <w:p w14:paraId="1DEFEF82" w14:textId="23954CDC" w:rsidR="00927443" w:rsidRPr="00BE555F" w:rsidRDefault="00927443" w:rsidP="00927443">
            <w:pPr>
              <w:pStyle w:val="TAH"/>
            </w:pPr>
            <w:r>
              <w:t>N/A</w:t>
            </w:r>
          </w:p>
        </w:tc>
        <w:tc>
          <w:tcPr>
            <w:tcW w:w="728" w:type="dxa"/>
          </w:tcPr>
          <w:p w14:paraId="18C41303" w14:textId="2263A375" w:rsidR="00927443" w:rsidRPr="00BE555F" w:rsidRDefault="00927443" w:rsidP="00927443">
            <w:pPr>
              <w:pStyle w:val="TAH"/>
            </w:pPr>
            <w:r>
              <w:t>FR1 only</w:t>
            </w:r>
          </w:p>
        </w:tc>
      </w:tr>
    </w:tbl>
    <w:p w14:paraId="22470C28" w14:textId="02F8E67F" w:rsidR="00927443" w:rsidRDefault="009B0A72" w:rsidP="009B0A72">
      <w:pPr>
        <w:spacing w:before="120" w:after="120"/>
      </w:pPr>
      <w:r>
        <w:t xml:space="preserve">The open issue left is how RAN2 captures the following </w:t>
      </w:r>
      <w:r w:rsidR="008B38F7">
        <w:t xml:space="preserve">two </w:t>
      </w:r>
      <w:r>
        <w:t>agreements as RAN4 suggested[1]: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A72" w14:paraId="30C1EA3B" w14:textId="77777777" w:rsidTr="009B0A72">
        <w:tc>
          <w:tcPr>
            <w:tcW w:w="9628" w:type="dxa"/>
          </w:tcPr>
          <w:p w14:paraId="3FA1B40D" w14:textId="77777777" w:rsidR="009B0A72" w:rsidRPr="007759DD" w:rsidRDefault="009B0A72" w:rsidP="009B0A72">
            <w:pPr>
              <w:rPr>
                <w:highlight w:val="green"/>
              </w:rPr>
            </w:pPr>
            <w:r w:rsidRPr="007759DD">
              <w:rPr>
                <w:highlight w:val="green"/>
              </w:rPr>
              <w:t>Agreements:</w:t>
            </w:r>
          </w:p>
          <w:p w14:paraId="39852985" w14:textId="77777777" w:rsidR="009B0A72" w:rsidRPr="007759DD" w:rsidRDefault="009B0A72" w:rsidP="009B0A72">
            <w:pPr>
              <w:rPr>
                <w:highlight w:val="green"/>
              </w:rPr>
            </w:pPr>
            <w:r w:rsidRPr="007759DD">
              <w:rPr>
                <w:highlight w:val="green"/>
              </w:rPr>
              <w:t xml:space="preserve">If UE indicates support of SSB-less operation between Band A and Band B, it is RAN4 understanding that there is no direction between A and B, which means that UE shall indicate either band as the reference band and the other band as the SSB-less band. </w:t>
            </w:r>
            <w:r w:rsidRPr="007759DD">
              <w:rPr>
                <w:highlight w:val="yellow"/>
              </w:rPr>
              <w:t xml:space="preserve">How UE to indicate it is up to RAN2 to design. </w:t>
            </w:r>
          </w:p>
          <w:p w14:paraId="4496A224" w14:textId="77777777" w:rsidR="009B0A72" w:rsidRPr="007759DD" w:rsidRDefault="009B0A72" w:rsidP="009B0A72">
            <w:pPr>
              <w:rPr>
                <w:highlight w:val="green"/>
              </w:rPr>
            </w:pPr>
          </w:p>
          <w:p w14:paraId="59AF2F99" w14:textId="61D71C36" w:rsidR="009B0A72" w:rsidRDefault="009B0A72" w:rsidP="009B0A72">
            <w:pPr>
              <w:spacing w:before="120" w:after="120"/>
            </w:pPr>
            <w:r w:rsidRPr="007759DD">
              <w:rPr>
                <w:highlight w:val="green"/>
              </w:rPr>
              <w:t>If UE indicates support of SSB-less operation between Band A and Band B, and UE can support CA combination containing A and B, then it is natural that UE can support SSB-less operation between A and B under such CA combination.</w:t>
            </w:r>
          </w:p>
        </w:tc>
      </w:tr>
    </w:tbl>
    <w:p w14:paraId="419E06AE" w14:textId="4E641B47" w:rsidR="00937123" w:rsidRDefault="001B4FEE" w:rsidP="009B0A72">
      <w:pPr>
        <w:spacing w:before="120" w:after="120"/>
      </w:pPr>
      <w:r>
        <w:t xml:space="preserve">For the agreement </w:t>
      </w:r>
      <w:r w:rsidR="00B92006">
        <w:t>implying</w:t>
      </w:r>
      <w:r>
        <w:t xml:space="preserve"> there is no direction between the two bands for which the </w:t>
      </w:r>
      <w:r w:rsidRPr="001B4FEE">
        <w:t>UE indicates the support of inter-band SSB-less operation</w:t>
      </w:r>
      <w:r>
        <w:t xml:space="preserve">, we understand </w:t>
      </w:r>
      <w:r w:rsidR="00B92006">
        <w:t>it is the same from NW perspective, i.e. the NW can configure either one of the two bands to be the reference band and the other band as the SSB-less band. Therefore, this</w:t>
      </w:r>
      <w:r w:rsidR="008B38F7">
        <w:t xml:space="preserve"> agreement can be simply captured in the field description without introducing another new UE capability to indicate that there is no direction between A and B</w:t>
      </w:r>
      <w:r w:rsidR="00147354">
        <w:t xml:space="preserve">. </w:t>
      </w:r>
      <w:r w:rsidR="00131F4B">
        <w:t xml:space="preserve">For instance, </w:t>
      </w:r>
      <w:bookmarkStart w:id="9" w:name="_Hlk163031532"/>
      <w:r w:rsidR="00131F4B">
        <w:t xml:space="preserve">if the UE indicates “support” for this band, </w:t>
      </w:r>
      <w:r w:rsidR="00937123">
        <w:t xml:space="preserve">this band can be configured as the reference band while </w:t>
      </w:r>
      <w:r w:rsidR="00937123" w:rsidRPr="00937123">
        <w:t>all other band</w:t>
      </w:r>
      <w:r w:rsidR="000F45CD">
        <w:t>(</w:t>
      </w:r>
      <w:r w:rsidR="00937123" w:rsidRPr="00937123">
        <w:t>s</w:t>
      </w:r>
      <w:r w:rsidR="000F45CD">
        <w:t>)</w:t>
      </w:r>
      <w:r w:rsidR="00937123" w:rsidRPr="00937123">
        <w:t xml:space="preserve"> within the BC can be configured as SSB-less band</w:t>
      </w:r>
      <w:r w:rsidR="000F45CD">
        <w:t>(</w:t>
      </w:r>
      <w:r w:rsidR="00937123" w:rsidRPr="00937123">
        <w:t>s</w:t>
      </w:r>
      <w:r w:rsidR="000F45CD">
        <w:t>), or configured</w:t>
      </w:r>
      <w:r w:rsidR="000F45CD" w:rsidRPr="000F45CD">
        <w:t xml:space="preserve"> as an SSB-less band if any other band within the BC is configured as the reference band</w:t>
      </w:r>
      <w:bookmarkEnd w:id="9"/>
      <w:r w:rsidR="000F45CD">
        <w:t>.</w:t>
      </w:r>
    </w:p>
    <w:p w14:paraId="75EB585B" w14:textId="21DB0290" w:rsidR="00147354" w:rsidRPr="001B4FEE" w:rsidRDefault="00147354" w:rsidP="009B0A72">
      <w:pPr>
        <w:spacing w:before="120" w:after="120"/>
        <w:rPr>
          <w:b/>
        </w:rPr>
      </w:pPr>
      <w:r w:rsidRPr="001B4FEE">
        <w:rPr>
          <w:b/>
        </w:rPr>
        <w:t>Proposal</w:t>
      </w:r>
      <w:r w:rsidR="00443D4B">
        <w:rPr>
          <w:b/>
        </w:rPr>
        <w:t xml:space="preserve"> 1</w:t>
      </w:r>
      <w:r w:rsidRPr="001B4FEE">
        <w:rPr>
          <w:b/>
        </w:rPr>
        <w:t xml:space="preserve">: </w:t>
      </w:r>
      <w:r w:rsidR="000F45CD">
        <w:rPr>
          <w:b/>
        </w:rPr>
        <w:t>I</w:t>
      </w:r>
      <w:r w:rsidR="000F45CD" w:rsidRPr="000F45CD">
        <w:rPr>
          <w:b/>
        </w:rPr>
        <w:t xml:space="preserve">f the UE indicates “support” for this band, </w:t>
      </w:r>
      <w:r w:rsidR="000F45CD">
        <w:rPr>
          <w:b/>
        </w:rPr>
        <w:t>this band</w:t>
      </w:r>
      <w:r w:rsidR="000F45CD" w:rsidRPr="000F45CD">
        <w:rPr>
          <w:b/>
        </w:rPr>
        <w:t xml:space="preserve"> can be configured as the reference band while all other band</w:t>
      </w:r>
      <w:r w:rsidR="00E64259">
        <w:rPr>
          <w:b/>
        </w:rPr>
        <w:t>(</w:t>
      </w:r>
      <w:r w:rsidR="000F45CD" w:rsidRPr="000F45CD">
        <w:rPr>
          <w:b/>
        </w:rPr>
        <w:t>s</w:t>
      </w:r>
      <w:r w:rsidR="00E64259">
        <w:rPr>
          <w:b/>
        </w:rPr>
        <w:t>)</w:t>
      </w:r>
      <w:r w:rsidR="000F45CD" w:rsidRPr="000F45CD">
        <w:rPr>
          <w:b/>
        </w:rPr>
        <w:t xml:space="preserve"> within the </w:t>
      </w:r>
      <w:r w:rsidR="004D25A8">
        <w:rPr>
          <w:b/>
        </w:rPr>
        <w:t>BC</w:t>
      </w:r>
      <w:r w:rsidR="000F45CD" w:rsidRPr="000F45CD">
        <w:rPr>
          <w:b/>
        </w:rPr>
        <w:t xml:space="preserve"> can be configured as SSB-less band</w:t>
      </w:r>
      <w:r w:rsidR="00E64259">
        <w:rPr>
          <w:b/>
        </w:rPr>
        <w:t>(</w:t>
      </w:r>
      <w:r w:rsidR="000F45CD" w:rsidRPr="000F45CD">
        <w:rPr>
          <w:b/>
        </w:rPr>
        <w:t>s</w:t>
      </w:r>
      <w:r w:rsidR="00E64259">
        <w:rPr>
          <w:b/>
        </w:rPr>
        <w:t>)</w:t>
      </w:r>
      <w:r w:rsidR="000F45CD" w:rsidRPr="000F45CD">
        <w:rPr>
          <w:b/>
        </w:rPr>
        <w:t xml:space="preserve">, or configured as an SSB-less band if any other band within the </w:t>
      </w:r>
      <w:r w:rsidR="004D25A8">
        <w:rPr>
          <w:b/>
        </w:rPr>
        <w:t>BC</w:t>
      </w:r>
      <w:r w:rsidR="000F45CD" w:rsidRPr="000F45CD">
        <w:rPr>
          <w:b/>
        </w:rPr>
        <w:t xml:space="preserve"> is configured as the reference band</w:t>
      </w:r>
      <w:r w:rsidR="00486144">
        <w:rPr>
          <w:b/>
        </w:rPr>
        <w:t>.</w:t>
      </w:r>
    </w:p>
    <w:p w14:paraId="17CE5CB7" w14:textId="054A41E4" w:rsidR="00F87CB1" w:rsidRDefault="007B6963" w:rsidP="009B0A72">
      <w:pPr>
        <w:spacing w:before="120" w:after="120"/>
        <w:rPr>
          <w:rFonts w:cs="Times New Roman"/>
        </w:rPr>
      </w:pPr>
      <w:r w:rsidRPr="006C2589">
        <w:rPr>
          <w:rFonts w:cs="Times New Roman"/>
        </w:rPr>
        <w:t>T</w:t>
      </w:r>
      <w:r w:rsidR="007F0CCC" w:rsidRPr="006C2589">
        <w:rPr>
          <w:rFonts w:cs="Times New Roman"/>
        </w:rPr>
        <w:t xml:space="preserve">he </w:t>
      </w:r>
      <w:r w:rsidRPr="006C2589">
        <w:rPr>
          <w:rFonts w:cs="Times New Roman"/>
        </w:rPr>
        <w:t>meaning of the second agreement is relatively clear</w:t>
      </w:r>
      <w:r w:rsidR="005E2806">
        <w:rPr>
          <w:rFonts w:cs="Times New Roman"/>
        </w:rPr>
        <w:t xml:space="preserve">. </w:t>
      </w:r>
      <w:r w:rsidR="00F87CB1">
        <w:rPr>
          <w:rFonts w:cs="Times New Roman"/>
        </w:rPr>
        <w:t xml:space="preserve">We understand </w:t>
      </w:r>
      <w:r w:rsidR="00486144">
        <w:rPr>
          <w:rFonts w:cs="Times New Roman"/>
        </w:rPr>
        <w:t xml:space="preserve">it can be translated with proper wordings, e.g. </w:t>
      </w:r>
      <w:r w:rsidR="00F87CB1">
        <w:t>i</w:t>
      </w:r>
      <w:r w:rsidR="00F87CB1" w:rsidRPr="005E2806">
        <w:t xml:space="preserve">f </w:t>
      </w:r>
      <w:r w:rsidR="00F87CB1">
        <w:t>the</w:t>
      </w:r>
      <w:r w:rsidR="00F87CB1" w:rsidRPr="005E2806">
        <w:t xml:space="preserve"> UE indicates suppor</w:t>
      </w:r>
      <w:r w:rsidR="00F87CB1">
        <w:t>t of</w:t>
      </w:r>
      <w:r w:rsidR="00F87CB1" w:rsidRPr="005E2806">
        <w:t xml:space="preserve"> SSB-less </w:t>
      </w:r>
      <w:r w:rsidR="00DB55B8">
        <w:t xml:space="preserve">SCell </w:t>
      </w:r>
      <w:r w:rsidR="00F87CB1" w:rsidRPr="005E2806">
        <w:t xml:space="preserve">operation between two bands within the </w:t>
      </w:r>
      <w:r w:rsidR="00F87CB1">
        <w:t>BC</w:t>
      </w:r>
      <w:r w:rsidR="00F87CB1" w:rsidRPr="005E2806">
        <w:t xml:space="preserve"> by </w:t>
      </w:r>
      <w:r w:rsidR="00F87CB1" w:rsidRPr="005E2806">
        <w:rPr>
          <w:i/>
        </w:rPr>
        <w:t>scellWithoutSSB-InterBandCA-r18</w:t>
      </w:r>
      <w:r w:rsidR="00F87CB1" w:rsidRPr="005E2806">
        <w:t xml:space="preserve">, the UE also supports SSB-less </w:t>
      </w:r>
      <w:r w:rsidR="00DB55B8">
        <w:t xml:space="preserve">SCell </w:t>
      </w:r>
      <w:r w:rsidR="00F87CB1" w:rsidRPr="005E2806">
        <w:t xml:space="preserve">operation between these two bands contained in any of its parent </w:t>
      </w:r>
      <w:r w:rsidR="00F87CB1">
        <w:t>BC</w:t>
      </w:r>
      <w:r w:rsidR="00F87CB1">
        <w:rPr>
          <w:rFonts w:cs="Times New Roman"/>
        </w:rPr>
        <w:t>.</w:t>
      </w:r>
    </w:p>
    <w:p w14:paraId="7AF68EDA" w14:textId="23D39110" w:rsidR="00F87CB1" w:rsidRDefault="00F87CB1" w:rsidP="009B0A72">
      <w:pPr>
        <w:spacing w:before="120" w:after="120"/>
        <w:rPr>
          <w:rFonts w:cs="Times New Roman"/>
        </w:rPr>
      </w:pPr>
      <w:r w:rsidRPr="001B4FEE">
        <w:rPr>
          <w:b/>
        </w:rPr>
        <w:t>Proposal</w:t>
      </w:r>
      <w:r>
        <w:rPr>
          <w:b/>
        </w:rPr>
        <w:t xml:space="preserve"> 2</w:t>
      </w:r>
      <w:r w:rsidRPr="001B4FEE">
        <w:rPr>
          <w:b/>
        </w:rPr>
        <w:t xml:space="preserve">: </w:t>
      </w:r>
      <w:r w:rsidR="00932121">
        <w:rPr>
          <w:b/>
        </w:rPr>
        <w:t>I</w:t>
      </w:r>
      <w:r w:rsidRPr="00F87CB1">
        <w:rPr>
          <w:b/>
        </w:rPr>
        <w:t xml:space="preserve">f the UE indicates support of SSB-less </w:t>
      </w:r>
      <w:r w:rsidR="00DB55B8" w:rsidRPr="00DB55B8">
        <w:rPr>
          <w:b/>
        </w:rPr>
        <w:t xml:space="preserve">SCell </w:t>
      </w:r>
      <w:r w:rsidRPr="00F87CB1">
        <w:rPr>
          <w:b/>
        </w:rPr>
        <w:t xml:space="preserve">operation between two bands within the </w:t>
      </w:r>
      <w:r w:rsidR="004D25A8">
        <w:rPr>
          <w:b/>
        </w:rPr>
        <w:t>BC</w:t>
      </w:r>
      <w:r w:rsidR="004D25A8" w:rsidRPr="000F45CD">
        <w:rPr>
          <w:b/>
        </w:rPr>
        <w:t xml:space="preserve"> </w:t>
      </w:r>
      <w:r w:rsidRPr="00F87CB1">
        <w:rPr>
          <w:b/>
        </w:rPr>
        <w:t xml:space="preserve">by </w:t>
      </w:r>
      <w:r w:rsidRPr="00932121">
        <w:rPr>
          <w:b/>
          <w:i/>
        </w:rPr>
        <w:t>scellWithoutSSB-InterBandCA-r18</w:t>
      </w:r>
      <w:r w:rsidRPr="00F87CB1">
        <w:rPr>
          <w:b/>
        </w:rPr>
        <w:t xml:space="preserve">, the UE also supports SSB-less </w:t>
      </w:r>
      <w:r w:rsidR="00DB55B8" w:rsidRPr="00DB55B8">
        <w:rPr>
          <w:b/>
        </w:rPr>
        <w:t xml:space="preserve">SCell </w:t>
      </w:r>
      <w:r w:rsidRPr="00F87CB1">
        <w:rPr>
          <w:b/>
        </w:rPr>
        <w:t xml:space="preserve">operation between these two bands contained in any of its parent </w:t>
      </w:r>
      <w:r w:rsidR="004D25A8">
        <w:rPr>
          <w:b/>
        </w:rPr>
        <w:t>BC</w:t>
      </w:r>
      <w:r w:rsidRPr="00F87CB1">
        <w:rPr>
          <w:b/>
        </w:rPr>
        <w:t>.</w:t>
      </w:r>
      <w:bookmarkStart w:id="10" w:name="_GoBack"/>
      <w:bookmarkEnd w:id="10"/>
    </w:p>
    <w:p w14:paraId="21331656" w14:textId="6C28270B" w:rsidR="005E2806" w:rsidRDefault="005E2806" w:rsidP="009B0A72">
      <w:pPr>
        <w:spacing w:before="120" w:after="120"/>
        <w:rPr>
          <w:rFonts w:cs="Times New Roman"/>
        </w:rPr>
      </w:pPr>
      <w:r>
        <w:rPr>
          <w:rFonts w:cs="Times New Roman"/>
        </w:rPr>
        <w:lastRenderedPageBreak/>
        <w:t xml:space="preserve">A draft </w:t>
      </w:r>
      <w:r w:rsidR="00F87CB1">
        <w:rPr>
          <w:rFonts w:cs="Times New Roman"/>
        </w:rPr>
        <w:t>CR</w:t>
      </w:r>
      <w:r>
        <w:rPr>
          <w:rFonts w:cs="Times New Roman"/>
        </w:rPr>
        <w:t xml:space="preserve"> is </w:t>
      </w:r>
      <w:r w:rsidR="00443D4B">
        <w:rPr>
          <w:rFonts w:cs="Times New Roman"/>
        </w:rPr>
        <w:t xml:space="preserve">provided </w:t>
      </w:r>
      <w:r w:rsidR="00F87CB1">
        <w:rPr>
          <w:rFonts w:cs="Times New Roman"/>
        </w:rPr>
        <w:t>to reflect</w:t>
      </w:r>
      <w:r w:rsidR="00443D4B">
        <w:rPr>
          <w:rFonts w:cs="Times New Roman"/>
        </w:rPr>
        <w:t xml:space="preserve"> proposal 1</w:t>
      </w:r>
      <w:r w:rsidR="00F87CB1">
        <w:rPr>
          <w:rFonts w:cs="Times New Roman"/>
        </w:rPr>
        <w:t>&amp;2[</w:t>
      </w:r>
      <w:r w:rsidR="00617DB8">
        <w:rPr>
          <w:rFonts w:cs="Times New Roman"/>
        </w:rPr>
        <w:t>3</w:t>
      </w:r>
      <w:r w:rsidR="00F87CB1">
        <w:rPr>
          <w:rFonts w:cs="Times New Roman"/>
        </w:rPr>
        <w:t>]</w:t>
      </w:r>
      <w:r w:rsidR="00443D4B">
        <w:rPr>
          <w:rFonts w:cs="Times New Roman"/>
        </w:rPr>
        <w:t>.</w:t>
      </w:r>
      <w:r w:rsidR="00486144">
        <w:rPr>
          <w:rFonts w:cs="Times New Roman"/>
        </w:rPr>
        <w:t xml:space="preserve"> Detail wordings can be updated during email discussion according to the final agreements.</w:t>
      </w:r>
    </w:p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3C47EA92" w14:textId="77777777" w:rsidR="004D25A8" w:rsidRPr="001B4FEE" w:rsidRDefault="004D25A8" w:rsidP="004D25A8">
      <w:pPr>
        <w:spacing w:before="120" w:after="120"/>
        <w:rPr>
          <w:b/>
        </w:rPr>
      </w:pPr>
      <w:r w:rsidRPr="001B4FEE">
        <w:rPr>
          <w:b/>
        </w:rPr>
        <w:t>Proposal</w:t>
      </w:r>
      <w:r>
        <w:rPr>
          <w:b/>
        </w:rPr>
        <w:t xml:space="preserve"> 1</w:t>
      </w:r>
      <w:r w:rsidRPr="001B4FEE">
        <w:rPr>
          <w:b/>
        </w:rPr>
        <w:t xml:space="preserve">: </w:t>
      </w:r>
      <w:r>
        <w:rPr>
          <w:b/>
        </w:rPr>
        <w:t>I</w:t>
      </w:r>
      <w:r w:rsidRPr="000F45CD">
        <w:rPr>
          <w:b/>
        </w:rPr>
        <w:t xml:space="preserve">f the UE indicates “support” for this band, </w:t>
      </w:r>
      <w:r>
        <w:rPr>
          <w:b/>
        </w:rPr>
        <w:t>this band</w:t>
      </w:r>
      <w:r w:rsidRPr="000F45CD">
        <w:rPr>
          <w:b/>
        </w:rPr>
        <w:t xml:space="preserve"> can be configured as the reference band while all other band</w:t>
      </w:r>
      <w:r>
        <w:rPr>
          <w:b/>
        </w:rPr>
        <w:t>(</w:t>
      </w:r>
      <w:r w:rsidRPr="000F45CD">
        <w:rPr>
          <w:b/>
        </w:rPr>
        <w:t>s</w:t>
      </w:r>
      <w:r>
        <w:rPr>
          <w:b/>
        </w:rPr>
        <w:t>)</w:t>
      </w:r>
      <w:r w:rsidRPr="000F45CD">
        <w:rPr>
          <w:b/>
        </w:rPr>
        <w:t xml:space="preserve"> within the </w:t>
      </w:r>
      <w:r>
        <w:rPr>
          <w:b/>
        </w:rPr>
        <w:t>BC</w:t>
      </w:r>
      <w:r w:rsidRPr="000F45CD">
        <w:rPr>
          <w:b/>
        </w:rPr>
        <w:t xml:space="preserve"> can be configured as SSB-less band</w:t>
      </w:r>
      <w:r>
        <w:rPr>
          <w:b/>
        </w:rPr>
        <w:t>(</w:t>
      </w:r>
      <w:r w:rsidRPr="000F45CD">
        <w:rPr>
          <w:b/>
        </w:rPr>
        <w:t>s</w:t>
      </w:r>
      <w:r>
        <w:rPr>
          <w:b/>
        </w:rPr>
        <w:t>)</w:t>
      </w:r>
      <w:r w:rsidRPr="000F45CD">
        <w:rPr>
          <w:b/>
        </w:rPr>
        <w:t xml:space="preserve">, or configured as an SSB-less band if any other band within the </w:t>
      </w:r>
      <w:r>
        <w:rPr>
          <w:b/>
        </w:rPr>
        <w:t>BC</w:t>
      </w:r>
      <w:r w:rsidRPr="000F45CD">
        <w:rPr>
          <w:b/>
        </w:rPr>
        <w:t xml:space="preserve"> is configured as the reference band</w:t>
      </w:r>
      <w:r>
        <w:rPr>
          <w:b/>
        </w:rPr>
        <w:t>.</w:t>
      </w:r>
    </w:p>
    <w:p w14:paraId="338A277B" w14:textId="77777777" w:rsidR="00DB4E79" w:rsidRDefault="00DB4E79" w:rsidP="00DB4E79">
      <w:pPr>
        <w:spacing w:before="120" w:after="120"/>
        <w:rPr>
          <w:rFonts w:cs="Times New Roman"/>
        </w:rPr>
      </w:pPr>
      <w:r w:rsidRPr="001B4FEE">
        <w:rPr>
          <w:b/>
        </w:rPr>
        <w:t>Proposal</w:t>
      </w:r>
      <w:r>
        <w:rPr>
          <w:b/>
        </w:rPr>
        <w:t xml:space="preserve"> 2</w:t>
      </w:r>
      <w:r w:rsidRPr="001B4FEE">
        <w:rPr>
          <w:b/>
        </w:rPr>
        <w:t xml:space="preserve">: </w:t>
      </w:r>
      <w:r>
        <w:rPr>
          <w:b/>
        </w:rPr>
        <w:t>I</w:t>
      </w:r>
      <w:r w:rsidRPr="00F87CB1">
        <w:rPr>
          <w:b/>
        </w:rPr>
        <w:t xml:space="preserve">f the UE indicates support of SSB-less </w:t>
      </w:r>
      <w:r w:rsidRPr="00DB55B8">
        <w:rPr>
          <w:b/>
        </w:rPr>
        <w:t xml:space="preserve">SCell </w:t>
      </w:r>
      <w:r w:rsidRPr="00F87CB1">
        <w:rPr>
          <w:b/>
        </w:rPr>
        <w:t xml:space="preserve">operation between two bands within the </w:t>
      </w:r>
      <w:r>
        <w:rPr>
          <w:b/>
        </w:rPr>
        <w:t>BC</w:t>
      </w:r>
      <w:r w:rsidRPr="000F45CD">
        <w:rPr>
          <w:b/>
        </w:rPr>
        <w:t xml:space="preserve"> </w:t>
      </w:r>
      <w:r w:rsidRPr="00F87CB1">
        <w:rPr>
          <w:b/>
        </w:rPr>
        <w:t xml:space="preserve">by </w:t>
      </w:r>
      <w:r w:rsidRPr="00932121">
        <w:rPr>
          <w:b/>
          <w:i/>
        </w:rPr>
        <w:t>scellWithoutSSB-InterBandCA-r18</w:t>
      </w:r>
      <w:r w:rsidRPr="00F87CB1">
        <w:rPr>
          <w:b/>
        </w:rPr>
        <w:t xml:space="preserve">, the UE also supports SSB-less </w:t>
      </w:r>
      <w:r w:rsidRPr="00DB55B8">
        <w:rPr>
          <w:b/>
        </w:rPr>
        <w:t xml:space="preserve">SCell </w:t>
      </w:r>
      <w:r w:rsidRPr="00F87CB1">
        <w:rPr>
          <w:b/>
        </w:rPr>
        <w:t xml:space="preserve">operation between these two bands contained in any of its parent </w:t>
      </w:r>
      <w:r>
        <w:rPr>
          <w:b/>
        </w:rPr>
        <w:t>BC</w:t>
      </w:r>
      <w:r w:rsidRPr="00F87CB1">
        <w:rPr>
          <w:b/>
        </w:rPr>
        <w:t>.</w:t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1191C98D" w14:textId="5B6EC4AF" w:rsidR="00541641" w:rsidRDefault="00443D4B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443D4B">
        <w:rPr>
          <w:rFonts w:ascii="Times New Roman" w:hAnsi="Times New Roman"/>
          <w:sz w:val="20"/>
          <w:szCs w:val="20"/>
        </w:rPr>
        <w:t>R4-2403526</w:t>
      </w:r>
      <w:r>
        <w:rPr>
          <w:rFonts w:ascii="Times New Roman" w:hAnsi="Times New Roman"/>
          <w:sz w:val="20"/>
          <w:szCs w:val="20"/>
        </w:rPr>
        <w:t xml:space="preserve"> </w:t>
      </w:r>
      <w:r w:rsidRPr="00443D4B">
        <w:rPr>
          <w:rFonts w:ascii="Times New Roman" w:hAnsi="Times New Roman"/>
          <w:sz w:val="20"/>
          <w:szCs w:val="20"/>
        </w:rPr>
        <w:t>WF on RRM requirements for NR network energy saving</w:t>
      </w:r>
    </w:p>
    <w:p w14:paraId="437C58CC" w14:textId="106B567D" w:rsidR="00617DB8" w:rsidRDefault="00617DB8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38.306, V18.1.0</w:t>
      </w:r>
    </w:p>
    <w:p w14:paraId="10F2C67B" w14:textId="1D3FE039" w:rsidR="00F87CB1" w:rsidRPr="00E14384" w:rsidRDefault="00F87CB1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R2-</w:t>
      </w:r>
      <w:r w:rsidR="008B1390" w:rsidRPr="008B1390">
        <w:rPr>
          <w:rFonts w:ascii="Times New Roman" w:hAnsi="Times New Roman"/>
          <w:sz w:val="20"/>
          <w:szCs w:val="20"/>
        </w:rPr>
        <w:t>240256</w:t>
      </w:r>
      <w:r w:rsidR="008B1390">
        <w:rPr>
          <w:rFonts w:ascii="Times New Roman" w:hAnsi="Times New Roman"/>
          <w:sz w:val="20"/>
          <w:szCs w:val="20"/>
        </w:rPr>
        <w:t xml:space="preserve">7 </w:t>
      </w:r>
      <w:r w:rsidR="006911C8">
        <w:rPr>
          <w:rFonts w:ascii="Times New Roman" w:hAnsi="Times New Roman"/>
          <w:sz w:val="20"/>
          <w:szCs w:val="20"/>
        </w:rPr>
        <w:t xml:space="preserve">Correction </w:t>
      </w:r>
      <w:r w:rsidR="00932121">
        <w:rPr>
          <w:rFonts w:ascii="Times New Roman" w:hAnsi="Times New Roman"/>
          <w:sz w:val="20"/>
          <w:szCs w:val="20"/>
        </w:rPr>
        <w:t>on UE capabilities for inter-band SSB-less SCell</w:t>
      </w:r>
    </w:p>
    <w:p w14:paraId="3B9E101A" w14:textId="77777777" w:rsidR="00D643BA" w:rsidRPr="00D643BA" w:rsidRDefault="00D643BA" w:rsidP="00D643BA"/>
    <w:sectPr w:rsidR="00D643BA" w:rsidRPr="00D643BA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88D05" w14:textId="77777777" w:rsidR="009B7758" w:rsidRDefault="009B7758" w:rsidP="003E7FE5">
      <w:r>
        <w:separator/>
      </w:r>
    </w:p>
  </w:endnote>
  <w:endnote w:type="continuationSeparator" w:id="0">
    <w:p w14:paraId="590444AD" w14:textId="77777777" w:rsidR="009B7758" w:rsidRDefault="009B7758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EE005" w14:textId="77777777" w:rsidR="009B7758" w:rsidRDefault="009B7758" w:rsidP="003E7FE5">
      <w:r>
        <w:separator/>
      </w:r>
    </w:p>
  </w:footnote>
  <w:footnote w:type="continuationSeparator" w:id="0">
    <w:p w14:paraId="67CB7D03" w14:textId="77777777" w:rsidR="009B7758" w:rsidRDefault="009B7758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4C70"/>
    <w:multiLevelType w:val="hybridMultilevel"/>
    <w:tmpl w:val="356AAC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5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8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730471A"/>
    <w:multiLevelType w:val="hybridMultilevel"/>
    <w:tmpl w:val="CA8CD5AC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2"/>
  </w:num>
  <w:num w:numId="5">
    <w:abstractNumId w:val="17"/>
  </w:num>
  <w:num w:numId="6">
    <w:abstractNumId w:val="16"/>
  </w:num>
  <w:num w:numId="7">
    <w:abstractNumId w:val="7"/>
  </w:num>
  <w:num w:numId="8">
    <w:abstractNumId w:val="4"/>
  </w:num>
  <w:num w:numId="9">
    <w:abstractNumId w:val="18"/>
  </w:num>
  <w:num w:numId="10">
    <w:abstractNumId w:val="6"/>
  </w:num>
  <w:num w:numId="11">
    <w:abstractNumId w:val="14"/>
  </w:num>
  <w:num w:numId="12">
    <w:abstractNumId w:val="5"/>
  </w:num>
  <w:num w:numId="13">
    <w:abstractNumId w:val="20"/>
  </w:num>
  <w:num w:numId="14">
    <w:abstractNumId w:val="3"/>
  </w:num>
  <w:num w:numId="15">
    <w:abstractNumId w:val="11"/>
  </w:num>
  <w:num w:numId="16">
    <w:abstractNumId w:val="1"/>
  </w:num>
  <w:num w:numId="17">
    <w:abstractNumId w:val="0"/>
  </w:num>
  <w:num w:numId="18">
    <w:abstractNumId w:val="10"/>
  </w:num>
  <w:num w:numId="19">
    <w:abstractNumId w:val="12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0884"/>
    <w:rsid w:val="000444C5"/>
    <w:rsid w:val="00046D71"/>
    <w:rsid w:val="00050EF2"/>
    <w:rsid w:val="0005385C"/>
    <w:rsid w:val="0006132B"/>
    <w:rsid w:val="00077CB0"/>
    <w:rsid w:val="000A3A3B"/>
    <w:rsid w:val="000A57DD"/>
    <w:rsid w:val="000B47AC"/>
    <w:rsid w:val="000E758D"/>
    <w:rsid w:val="000F0640"/>
    <w:rsid w:val="000F45CD"/>
    <w:rsid w:val="001121CD"/>
    <w:rsid w:val="001129D4"/>
    <w:rsid w:val="00131F4B"/>
    <w:rsid w:val="001410D9"/>
    <w:rsid w:val="001445FB"/>
    <w:rsid w:val="001448D5"/>
    <w:rsid w:val="00147354"/>
    <w:rsid w:val="0016785A"/>
    <w:rsid w:val="0017273B"/>
    <w:rsid w:val="00194C84"/>
    <w:rsid w:val="001A25FC"/>
    <w:rsid w:val="001A2E65"/>
    <w:rsid w:val="001A5E91"/>
    <w:rsid w:val="001B4FEE"/>
    <w:rsid w:val="00211D99"/>
    <w:rsid w:val="00214A6C"/>
    <w:rsid w:val="00236971"/>
    <w:rsid w:val="002541C7"/>
    <w:rsid w:val="00257E01"/>
    <w:rsid w:val="0026661A"/>
    <w:rsid w:val="00284C62"/>
    <w:rsid w:val="002855E3"/>
    <w:rsid w:val="00292F23"/>
    <w:rsid w:val="002A4CB7"/>
    <w:rsid w:val="002A5FBD"/>
    <w:rsid w:val="002B1637"/>
    <w:rsid w:val="002B351A"/>
    <w:rsid w:val="002C273C"/>
    <w:rsid w:val="002C4919"/>
    <w:rsid w:val="002E7299"/>
    <w:rsid w:val="003144E6"/>
    <w:rsid w:val="003153AB"/>
    <w:rsid w:val="00343E37"/>
    <w:rsid w:val="00357E7A"/>
    <w:rsid w:val="003777D8"/>
    <w:rsid w:val="0038200A"/>
    <w:rsid w:val="00385BCD"/>
    <w:rsid w:val="00386243"/>
    <w:rsid w:val="00392CF2"/>
    <w:rsid w:val="00394D3B"/>
    <w:rsid w:val="003A00A3"/>
    <w:rsid w:val="003A2AEA"/>
    <w:rsid w:val="003B4E47"/>
    <w:rsid w:val="003E7FE5"/>
    <w:rsid w:val="003F5429"/>
    <w:rsid w:val="004229EB"/>
    <w:rsid w:val="00427623"/>
    <w:rsid w:val="00443D4B"/>
    <w:rsid w:val="004526A5"/>
    <w:rsid w:val="00486144"/>
    <w:rsid w:val="004A21A1"/>
    <w:rsid w:val="004D0653"/>
    <w:rsid w:val="004D25A8"/>
    <w:rsid w:val="004E29CA"/>
    <w:rsid w:val="004F599D"/>
    <w:rsid w:val="004F773B"/>
    <w:rsid w:val="00500EFE"/>
    <w:rsid w:val="005017F6"/>
    <w:rsid w:val="00536C5B"/>
    <w:rsid w:val="00541641"/>
    <w:rsid w:val="0055188C"/>
    <w:rsid w:val="00572C05"/>
    <w:rsid w:val="005A680C"/>
    <w:rsid w:val="005C100D"/>
    <w:rsid w:val="005E2806"/>
    <w:rsid w:val="00600071"/>
    <w:rsid w:val="006011D9"/>
    <w:rsid w:val="00617DB8"/>
    <w:rsid w:val="00624E50"/>
    <w:rsid w:val="00627F15"/>
    <w:rsid w:val="006419F8"/>
    <w:rsid w:val="00656556"/>
    <w:rsid w:val="00670BA2"/>
    <w:rsid w:val="00675CA4"/>
    <w:rsid w:val="00680F2E"/>
    <w:rsid w:val="00690A1F"/>
    <w:rsid w:val="006911C8"/>
    <w:rsid w:val="006B0026"/>
    <w:rsid w:val="006C2589"/>
    <w:rsid w:val="006C40A0"/>
    <w:rsid w:val="00701B54"/>
    <w:rsid w:val="0071045E"/>
    <w:rsid w:val="0073196B"/>
    <w:rsid w:val="00756311"/>
    <w:rsid w:val="00762D81"/>
    <w:rsid w:val="007759DD"/>
    <w:rsid w:val="00775F8A"/>
    <w:rsid w:val="0077756E"/>
    <w:rsid w:val="007801CA"/>
    <w:rsid w:val="007933C2"/>
    <w:rsid w:val="007B68E3"/>
    <w:rsid w:val="007B6963"/>
    <w:rsid w:val="007C1459"/>
    <w:rsid w:val="007C761D"/>
    <w:rsid w:val="007E174A"/>
    <w:rsid w:val="007E197F"/>
    <w:rsid w:val="007F0CCC"/>
    <w:rsid w:val="00804755"/>
    <w:rsid w:val="008158E4"/>
    <w:rsid w:val="00831490"/>
    <w:rsid w:val="008508D0"/>
    <w:rsid w:val="008A0860"/>
    <w:rsid w:val="008A52CB"/>
    <w:rsid w:val="008B1390"/>
    <w:rsid w:val="008B38F7"/>
    <w:rsid w:val="008D6FFA"/>
    <w:rsid w:val="008D744C"/>
    <w:rsid w:val="008E08F7"/>
    <w:rsid w:val="008F4F46"/>
    <w:rsid w:val="009034B0"/>
    <w:rsid w:val="00913ACC"/>
    <w:rsid w:val="0091483E"/>
    <w:rsid w:val="00927443"/>
    <w:rsid w:val="009320AD"/>
    <w:rsid w:val="00932121"/>
    <w:rsid w:val="00937123"/>
    <w:rsid w:val="00970C8D"/>
    <w:rsid w:val="00977917"/>
    <w:rsid w:val="00987FD6"/>
    <w:rsid w:val="009A4A8D"/>
    <w:rsid w:val="009A760A"/>
    <w:rsid w:val="009B0A72"/>
    <w:rsid w:val="009B4524"/>
    <w:rsid w:val="009B7758"/>
    <w:rsid w:val="009B7AAC"/>
    <w:rsid w:val="009C2B9D"/>
    <w:rsid w:val="009D02D9"/>
    <w:rsid w:val="009D20AB"/>
    <w:rsid w:val="009F4655"/>
    <w:rsid w:val="00A03F0A"/>
    <w:rsid w:val="00A05584"/>
    <w:rsid w:val="00A2414B"/>
    <w:rsid w:val="00A36B0F"/>
    <w:rsid w:val="00A93A63"/>
    <w:rsid w:val="00A95FAE"/>
    <w:rsid w:val="00A9772D"/>
    <w:rsid w:val="00AD031B"/>
    <w:rsid w:val="00AE2268"/>
    <w:rsid w:val="00AF48F0"/>
    <w:rsid w:val="00AF4CE4"/>
    <w:rsid w:val="00B1430E"/>
    <w:rsid w:val="00B22A4A"/>
    <w:rsid w:val="00B3204D"/>
    <w:rsid w:val="00B4348E"/>
    <w:rsid w:val="00B446DC"/>
    <w:rsid w:val="00B446F1"/>
    <w:rsid w:val="00B868C1"/>
    <w:rsid w:val="00B92006"/>
    <w:rsid w:val="00BA275C"/>
    <w:rsid w:val="00BA57C4"/>
    <w:rsid w:val="00BA70E1"/>
    <w:rsid w:val="00BF43BA"/>
    <w:rsid w:val="00C052EE"/>
    <w:rsid w:val="00C06DD9"/>
    <w:rsid w:val="00C12175"/>
    <w:rsid w:val="00C36646"/>
    <w:rsid w:val="00C460E9"/>
    <w:rsid w:val="00C5244F"/>
    <w:rsid w:val="00C57EB4"/>
    <w:rsid w:val="00C61ADE"/>
    <w:rsid w:val="00C7419D"/>
    <w:rsid w:val="00CA15AB"/>
    <w:rsid w:val="00CD02FB"/>
    <w:rsid w:val="00CF4A0C"/>
    <w:rsid w:val="00CF4EDB"/>
    <w:rsid w:val="00D0686A"/>
    <w:rsid w:val="00D114AE"/>
    <w:rsid w:val="00D3270E"/>
    <w:rsid w:val="00D62CF7"/>
    <w:rsid w:val="00D643BA"/>
    <w:rsid w:val="00D801CB"/>
    <w:rsid w:val="00D8388D"/>
    <w:rsid w:val="00D97559"/>
    <w:rsid w:val="00DA6D01"/>
    <w:rsid w:val="00DB4E79"/>
    <w:rsid w:val="00DB55B8"/>
    <w:rsid w:val="00DC71A7"/>
    <w:rsid w:val="00DE717C"/>
    <w:rsid w:val="00DE742A"/>
    <w:rsid w:val="00DF7126"/>
    <w:rsid w:val="00E14384"/>
    <w:rsid w:val="00E165F2"/>
    <w:rsid w:val="00E16EEA"/>
    <w:rsid w:val="00E3582D"/>
    <w:rsid w:val="00E443C4"/>
    <w:rsid w:val="00E64259"/>
    <w:rsid w:val="00E871C0"/>
    <w:rsid w:val="00E87241"/>
    <w:rsid w:val="00E95E8A"/>
    <w:rsid w:val="00EB2590"/>
    <w:rsid w:val="00EF37B8"/>
    <w:rsid w:val="00F20B0A"/>
    <w:rsid w:val="00F27036"/>
    <w:rsid w:val="00F4065E"/>
    <w:rsid w:val="00F46F52"/>
    <w:rsid w:val="00F52EF8"/>
    <w:rsid w:val="00F66CFB"/>
    <w:rsid w:val="00F8561D"/>
    <w:rsid w:val="00F87CB1"/>
    <w:rsid w:val="00FA2A01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customStyle="1" w:styleId="EW">
    <w:name w:val="EW"/>
    <w:basedOn w:val="a"/>
    <w:qFormat/>
    <w:rsid w:val="00927443"/>
    <w:pPr>
      <w:keepLines/>
      <w:widowControl/>
      <w:ind w:left="1702" w:hanging="1418"/>
      <w:jc w:val="left"/>
    </w:pPr>
    <w:rPr>
      <w:rFonts w:cs="Times New Roman"/>
      <w:kern w:val="0"/>
      <w:szCs w:val="20"/>
      <w:lang w:val="en-GB" w:eastAsia="en-US"/>
    </w:rPr>
  </w:style>
  <w:style w:type="paragraph" w:customStyle="1" w:styleId="Note-Boxed">
    <w:name w:val="Note - Boxed"/>
    <w:basedOn w:val="a"/>
    <w:next w:val="a"/>
    <w:rsid w:val="00D643BA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2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900</Words>
  <Characters>5133</Characters>
  <Application>Microsoft Office Word</Application>
  <DocSecurity>0</DocSecurity>
  <Lines>42</Lines>
  <Paragraphs>12</Paragraphs>
  <ScaleCrop>false</ScaleCrop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6</cp:revision>
  <dcterms:created xsi:type="dcterms:W3CDTF">2024-04-03T04:06:00Z</dcterms:created>
  <dcterms:modified xsi:type="dcterms:W3CDTF">2024-04-03T10:34:00Z</dcterms:modified>
</cp:coreProperties>
</file>